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B34D" w14:textId="77777777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 w:rsidRPr="00B40721">
        <w:rPr>
          <w:b/>
          <w:szCs w:val="22"/>
        </w:rPr>
        <w:t>AVISO DE DISPENSA DE LICITAÇÃO</w:t>
      </w:r>
    </w:p>
    <w:p w14:paraId="792F5454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27C32609" w14:textId="77777777" w:rsidR="00053948" w:rsidRPr="00B40721" w:rsidRDefault="00053948" w:rsidP="00053948">
      <w:pPr>
        <w:spacing w:line="276" w:lineRule="auto"/>
        <w:jc w:val="both"/>
        <w:rPr>
          <w:b/>
          <w:szCs w:val="22"/>
        </w:rPr>
      </w:pPr>
    </w:p>
    <w:p w14:paraId="0496E324" w14:textId="6559755D" w:rsidR="00053948" w:rsidRPr="00B40721" w:rsidRDefault="00053948" w:rsidP="00053948">
      <w:pPr>
        <w:spacing w:line="276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Dispensa de Licitação n° </w:t>
      </w:r>
      <w:r w:rsidR="007C4F9F">
        <w:rPr>
          <w:b/>
          <w:szCs w:val="22"/>
          <w:u w:val="single"/>
        </w:rPr>
        <w:t>049</w:t>
      </w:r>
      <w:r w:rsidRPr="00B40721">
        <w:rPr>
          <w:b/>
          <w:szCs w:val="22"/>
          <w:u w:val="single"/>
        </w:rPr>
        <w:t>/202</w:t>
      </w:r>
      <w:r>
        <w:rPr>
          <w:b/>
          <w:szCs w:val="22"/>
          <w:u w:val="single"/>
        </w:rPr>
        <w:t>5</w:t>
      </w:r>
    </w:p>
    <w:p w14:paraId="2B949493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      </w:t>
      </w:r>
      <w:r w:rsidRPr="00B40721">
        <w:rPr>
          <w:szCs w:val="22"/>
        </w:rPr>
        <w:tab/>
      </w:r>
    </w:p>
    <w:p w14:paraId="7E14A397" w14:textId="221990EE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B40721">
        <w:rPr>
          <w:b/>
          <w:szCs w:val="22"/>
        </w:rPr>
        <w:t>“</w:t>
      </w:r>
      <w:r w:rsidR="007C4F9F">
        <w:rPr>
          <w:b/>
          <w:szCs w:val="22"/>
        </w:rPr>
        <w:t>Prestação de serviço de arbitragem para a 3ª Taça Municipal de Futsal de Ibarama</w:t>
      </w:r>
      <w:r>
        <w:rPr>
          <w:b/>
          <w:szCs w:val="22"/>
        </w:rPr>
        <w:t>”</w:t>
      </w:r>
      <w:r w:rsidRPr="00B40721">
        <w:rPr>
          <w:szCs w:val="22"/>
        </w:rPr>
        <w:t xml:space="preserve">, conforme informações constantes no Termo de Referência em anexo. O julgamento da referida contratação será do tipo menor preço </w:t>
      </w:r>
      <w:r>
        <w:rPr>
          <w:szCs w:val="22"/>
        </w:rPr>
        <w:t>global</w:t>
      </w:r>
      <w:r w:rsidRPr="00B40721">
        <w:rPr>
          <w:szCs w:val="22"/>
        </w:rPr>
        <w:t>.</w:t>
      </w:r>
    </w:p>
    <w:p w14:paraId="78D4D00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173DF6F6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3F38016D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629B8611" w14:textId="6AD5789C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Eventuais interessados poderão apresentar suas propostas de preços, juntamente com </w:t>
      </w:r>
      <w:r w:rsidRPr="00B40721">
        <w:rPr>
          <w:szCs w:val="22"/>
          <w:u w:val="single"/>
        </w:rPr>
        <w:t>TODOS</w:t>
      </w:r>
      <w:r w:rsidRPr="00B40721">
        <w:rPr>
          <w:szCs w:val="22"/>
        </w:rPr>
        <w:t xml:space="preserve"> os documentos de habilitação (em vigência) constantes no Item 4 - Requisitos da Contratação do Termo de Referência, </w:t>
      </w:r>
      <w:r w:rsidRPr="00B40721">
        <w:rPr>
          <w:b/>
          <w:szCs w:val="22"/>
        </w:rPr>
        <w:t xml:space="preserve">até o dia </w:t>
      </w:r>
      <w:r w:rsidR="007C4F9F">
        <w:rPr>
          <w:b/>
          <w:szCs w:val="22"/>
        </w:rPr>
        <w:t xml:space="preserve">30 de abril de </w:t>
      </w:r>
      <w:r>
        <w:rPr>
          <w:b/>
          <w:szCs w:val="22"/>
        </w:rPr>
        <w:t>2025</w:t>
      </w:r>
      <w:r w:rsidR="007C4F9F">
        <w:rPr>
          <w:b/>
          <w:szCs w:val="22"/>
        </w:rPr>
        <w:t>,</w:t>
      </w:r>
      <w:r w:rsidRPr="00B40721">
        <w:rPr>
          <w:szCs w:val="22"/>
        </w:rPr>
        <w:t xml:space="preserve"> pelo e-mail </w:t>
      </w:r>
      <w:hyperlink r:id="rId8" w:history="1">
        <w:r w:rsidRPr="00B40721">
          <w:rPr>
            <w:rStyle w:val="Hyperlink"/>
            <w:rFonts w:eastAsiaTheme="majorEastAsia"/>
            <w:szCs w:val="22"/>
          </w:rPr>
          <w:t>licitacao@ibarama.com</w:t>
        </w:r>
      </w:hyperlink>
      <w:r w:rsidRPr="00B40721">
        <w:rPr>
          <w:szCs w:val="22"/>
        </w:rPr>
        <w:t xml:space="preserve">, em qualquer horário, ou entregues diretamente no setor de licitações da Prefeitura Municipal de Ibarama, situada na Rua </w:t>
      </w:r>
      <w:proofErr w:type="spellStart"/>
      <w:r>
        <w:rPr>
          <w:szCs w:val="22"/>
        </w:rPr>
        <w:t>Marci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Luis</w:t>
      </w:r>
      <w:proofErr w:type="spellEnd"/>
      <w:r>
        <w:rPr>
          <w:szCs w:val="22"/>
        </w:rPr>
        <w:t xml:space="preserve"> Nardi</w:t>
      </w:r>
      <w:r w:rsidRPr="00B40721">
        <w:rPr>
          <w:szCs w:val="22"/>
        </w:rPr>
        <w:t xml:space="preserve">, </w:t>
      </w:r>
      <w:r>
        <w:rPr>
          <w:szCs w:val="22"/>
        </w:rPr>
        <w:t>s/</w:t>
      </w:r>
      <w:r w:rsidRPr="00B40721">
        <w:rPr>
          <w:szCs w:val="22"/>
        </w:rPr>
        <w:t>n°, em horário de expediente (08h às 12h e 13h às 17h).</w:t>
      </w:r>
    </w:p>
    <w:p w14:paraId="0373215B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2D3581A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  <w:t xml:space="preserve">Termo de referência, modelo de proposta e este aviso podem ser visualizados no site oficial do Município  </w:t>
      </w:r>
      <w:hyperlink r:id="rId9" w:history="1">
        <w:r w:rsidRPr="00B40721">
          <w:rPr>
            <w:rStyle w:val="Hyperlink"/>
            <w:rFonts w:eastAsiaTheme="majorEastAsia"/>
            <w:szCs w:val="22"/>
          </w:rPr>
          <w:t>www.ibarama.rs.gov.br</w:t>
        </w:r>
      </w:hyperlink>
      <w:r w:rsidRPr="00B40721">
        <w:rPr>
          <w:szCs w:val="22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30E7D88E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96B83D8" w14:textId="17EEFAE4" w:rsidR="00053948" w:rsidRPr="00B40721" w:rsidRDefault="00053948" w:rsidP="00053948">
      <w:pPr>
        <w:spacing w:line="276" w:lineRule="auto"/>
        <w:jc w:val="both"/>
        <w:rPr>
          <w:szCs w:val="22"/>
        </w:rPr>
      </w:pP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</w:r>
      <w:r w:rsidRPr="00B40721">
        <w:rPr>
          <w:szCs w:val="22"/>
        </w:rPr>
        <w:tab/>
        <w:t xml:space="preserve">                      Ibarama, </w:t>
      </w:r>
      <w:r w:rsidR="007C4F9F">
        <w:rPr>
          <w:szCs w:val="22"/>
        </w:rPr>
        <w:t>25 de abril</w:t>
      </w:r>
      <w:r>
        <w:rPr>
          <w:szCs w:val="22"/>
        </w:rPr>
        <w:t xml:space="preserve"> de 2025</w:t>
      </w:r>
      <w:r w:rsidRPr="00B40721">
        <w:rPr>
          <w:szCs w:val="22"/>
        </w:rPr>
        <w:t>.</w:t>
      </w:r>
    </w:p>
    <w:p w14:paraId="3CADE184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75B15BF1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30212855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315216B" w14:textId="1F22BA6E" w:rsidR="00053948" w:rsidRPr="00B40721" w:rsidRDefault="00053948" w:rsidP="00053948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VALMOR NERI MATTANA</w:t>
      </w:r>
    </w:p>
    <w:p w14:paraId="5CAFC5DC" w14:textId="021E317E" w:rsidR="00053948" w:rsidRPr="00B40721" w:rsidRDefault="00053948" w:rsidP="00053948">
      <w:pPr>
        <w:spacing w:line="276" w:lineRule="auto"/>
        <w:jc w:val="center"/>
        <w:rPr>
          <w:szCs w:val="22"/>
        </w:rPr>
      </w:pPr>
      <w:r w:rsidRPr="00B40721">
        <w:rPr>
          <w:szCs w:val="22"/>
        </w:rPr>
        <w:t>Prefeito Municipal</w:t>
      </w:r>
    </w:p>
    <w:p w14:paraId="5E466768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DF9F37F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08FF2C80" w14:textId="77777777" w:rsidR="00053948" w:rsidRPr="00B40721" w:rsidRDefault="00053948" w:rsidP="00053948">
      <w:pPr>
        <w:spacing w:line="276" w:lineRule="auto"/>
        <w:jc w:val="both"/>
        <w:rPr>
          <w:szCs w:val="22"/>
        </w:rPr>
      </w:pPr>
    </w:p>
    <w:p w14:paraId="405AEA6A" w14:textId="77777777" w:rsidR="00053948" w:rsidRDefault="00053948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62A0D66E" w14:textId="77777777" w:rsidR="007C4F9F" w:rsidRDefault="007C4F9F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F10A847" w14:textId="77777777" w:rsidR="00C20B97" w:rsidRDefault="00C20B97" w:rsidP="000539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szCs w:val="22"/>
        </w:rPr>
      </w:pPr>
    </w:p>
    <w:p w14:paraId="798595D2" w14:textId="77777777" w:rsidR="00C20B97" w:rsidRDefault="00C20B97" w:rsidP="00C20B9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Cs w:val="22"/>
        </w:rPr>
      </w:pPr>
    </w:p>
    <w:p w14:paraId="752378F2" w14:textId="6FDC8274" w:rsidR="007C4F9F" w:rsidRDefault="007C4F9F" w:rsidP="00C20B9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  <w:r w:rsidRPr="00AC2302">
        <w:rPr>
          <w:rFonts w:ascii="Cambria" w:hAnsi="Cambria"/>
          <w:b/>
          <w:szCs w:val="22"/>
        </w:rPr>
        <w:lastRenderedPageBreak/>
        <w:t>TERMO DE REFERÊNCIA</w:t>
      </w:r>
    </w:p>
    <w:p w14:paraId="6CE3E2A2" w14:textId="77777777" w:rsidR="007C4F9F" w:rsidRPr="00AC2302" w:rsidRDefault="007C4F9F" w:rsidP="007C4F9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Cs w:val="22"/>
        </w:rPr>
      </w:pPr>
    </w:p>
    <w:p w14:paraId="7D7A5177" w14:textId="77777777" w:rsidR="007C4F9F" w:rsidRPr="00DE3D6F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Município de Ibarama</w:t>
      </w:r>
    </w:p>
    <w:p w14:paraId="589442BB" w14:textId="77777777" w:rsidR="007C4F9F" w:rsidRPr="00DE3D6F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Secretaria de </w:t>
      </w:r>
      <w:r>
        <w:rPr>
          <w:rFonts w:ascii="Cambria" w:hAnsi="Cambria"/>
          <w:szCs w:val="22"/>
        </w:rPr>
        <w:t xml:space="preserve">Administração e Desporto. </w:t>
      </w:r>
    </w:p>
    <w:p w14:paraId="4AD0ED8E" w14:textId="77777777" w:rsidR="007C4F9F" w:rsidRPr="00D36AC1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Necessidade da Administração: </w:t>
      </w:r>
      <w:bookmarkStart w:id="0" w:name="_Hlk194918062"/>
      <w:r w:rsidRPr="00D36AC1">
        <w:rPr>
          <w:rFonts w:ascii="Cambria" w:hAnsi="Cambria"/>
          <w:szCs w:val="22"/>
        </w:rPr>
        <w:t>C</w:t>
      </w:r>
      <w:r w:rsidRPr="00D36AC1">
        <w:rPr>
          <w:rFonts w:ascii="Cambria" w:hAnsi="Cambria"/>
        </w:rPr>
        <w:t>ontratação de serviços de arbitragem para a 3ª Taça Municipal de Futsal de Ibarama</w:t>
      </w:r>
      <w:bookmarkEnd w:id="0"/>
      <w:r w:rsidRPr="00D36AC1">
        <w:rPr>
          <w:rFonts w:ascii="Cambria" w:hAnsi="Cambria"/>
        </w:rPr>
        <w:t>.</w:t>
      </w:r>
    </w:p>
    <w:p w14:paraId="4C363076" w14:textId="77777777" w:rsidR="007C4F9F" w:rsidRPr="00AC2302" w:rsidRDefault="007C4F9F" w:rsidP="007C4F9F">
      <w:pPr>
        <w:jc w:val="both"/>
        <w:rPr>
          <w:rFonts w:ascii="Cambria" w:hAnsi="Cambria"/>
          <w:b/>
          <w:bCs/>
          <w:szCs w:val="22"/>
        </w:rPr>
      </w:pPr>
    </w:p>
    <w:p w14:paraId="55EDEA78" w14:textId="77777777" w:rsidR="007C4F9F" w:rsidRPr="00AC2302" w:rsidRDefault="007C4F9F" w:rsidP="007C4F9F">
      <w:pPr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b/>
          <w:bCs/>
          <w:szCs w:val="22"/>
        </w:rPr>
        <w:t>1. DESCRIÇÃO DA NECESSIDADE:</w:t>
      </w:r>
    </w:p>
    <w:p w14:paraId="3E12DCC3" w14:textId="0821ACFB" w:rsidR="007C4F9F" w:rsidRPr="00DE3D6F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O objeto da presente licitação é a </w:t>
      </w:r>
      <w:r w:rsidRPr="00D36AC1">
        <w:rPr>
          <w:rFonts w:ascii="Cambria" w:hAnsi="Cambria"/>
          <w:szCs w:val="22"/>
        </w:rPr>
        <w:t>contratação de serviços de arbitragem para a 3ª Taça Municipal de Futsal de Ibarama</w:t>
      </w:r>
      <w:r>
        <w:rPr>
          <w:rFonts w:ascii="Cambria" w:hAnsi="Cambria"/>
          <w:szCs w:val="22"/>
        </w:rPr>
        <w:t>, conforme segue:</w:t>
      </w:r>
    </w:p>
    <w:tbl>
      <w:tblPr>
        <w:tblpPr w:leftFromText="141" w:rightFromText="141" w:vertAnchor="text" w:horzAnchor="margin" w:tblpXSpec="center" w:tblpY="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6008"/>
        <w:gridCol w:w="1985"/>
      </w:tblGrid>
      <w:tr w:rsidR="007C4F9F" w:rsidRPr="00D36AC1" w14:paraId="02C8A473" w14:textId="77777777" w:rsidTr="006272D6">
        <w:trPr>
          <w:trHeight w:val="258"/>
        </w:trPr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74ABF89B" w14:textId="77777777" w:rsidR="007C4F9F" w:rsidRPr="00D36AC1" w:rsidRDefault="007C4F9F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>ITEM</w:t>
            </w:r>
          </w:p>
        </w:tc>
        <w:tc>
          <w:tcPr>
            <w:tcW w:w="6008" w:type="dxa"/>
            <w:tcBorders>
              <w:bottom w:val="single" w:sz="4" w:space="0" w:color="auto"/>
            </w:tcBorders>
            <w:shd w:val="clear" w:color="auto" w:fill="auto"/>
          </w:tcPr>
          <w:p w14:paraId="046D555D" w14:textId="77777777" w:rsidR="007C4F9F" w:rsidRPr="00D36AC1" w:rsidRDefault="007C4F9F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 xml:space="preserve">DESCRIÇÃO </w:t>
            </w:r>
          </w:p>
        </w:tc>
        <w:tc>
          <w:tcPr>
            <w:tcW w:w="1985" w:type="dxa"/>
          </w:tcPr>
          <w:p w14:paraId="7170786B" w14:textId="77777777" w:rsidR="007C4F9F" w:rsidRPr="00D36AC1" w:rsidRDefault="007C4F9F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>VALOR TOTAL</w:t>
            </w:r>
          </w:p>
        </w:tc>
      </w:tr>
      <w:tr w:rsidR="007C4F9F" w:rsidRPr="00D36AC1" w14:paraId="5BED734E" w14:textId="77777777" w:rsidTr="006272D6">
        <w:trPr>
          <w:trHeight w:val="576"/>
        </w:trPr>
        <w:tc>
          <w:tcPr>
            <w:tcW w:w="1046" w:type="dxa"/>
            <w:shd w:val="clear" w:color="auto" w:fill="auto"/>
          </w:tcPr>
          <w:p w14:paraId="665981C1" w14:textId="77777777" w:rsidR="007C4F9F" w:rsidRPr="00D36AC1" w:rsidRDefault="007C4F9F" w:rsidP="006272D6">
            <w:pPr>
              <w:rPr>
                <w:rFonts w:ascii="Cambria" w:eastAsia="Calibri" w:hAnsi="Cambria"/>
                <w:szCs w:val="22"/>
              </w:rPr>
            </w:pPr>
          </w:p>
          <w:p w14:paraId="12D3A8E1" w14:textId="77777777" w:rsidR="007C4F9F" w:rsidRPr="00D36AC1" w:rsidRDefault="007C4F9F" w:rsidP="006272D6">
            <w:pPr>
              <w:rPr>
                <w:rFonts w:ascii="Cambria" w:eastAsia="Calibri" w:hAnsi="Cambria"/>
                <w:szCs w:val="22"/>
              </w:rPr>
            </w:pPr>
          </w:p>
          <w:p w14:paraId="5D026919" w14:textId="77777777" w:rsidR="007C4F9F" w:rsidRPr="00D36AC1" w:rsidRDefault="007C4F9F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>01</w:t>
            </w:r>
          </w:p>
        </w:tc>
        <w:tc>
          <w:tcPr>
            <w:tcW w:w="6008" w:type="dxa"/>
            <w:shd w:val="clear" w:color="auto" w:fill="auto"/>
            <w:vAlign w:val="bottom"/>
          </w:tcPr>
          <w:p w14:paraId="0DB7C6D2" w14:textId="1D39C665" w:rsidR="007C4F9F" w:rsidRDefault="007C4F9F" w:rsidP="006272D6">
            <w:pPr>
              <w:rPr>
                <w:rFonts w:ascii="Cambria" w:hAnsi="Cambria"/>
              </w:rPr>
            </w:pPr>
            <w:r w:rsidRPr="00D36AC1">
              <w:rPr>
                <w:rFonts w:ascii="Cambria" w:hAnsi="Cambria"/>
              </w:rPr>
              <w:t xml:space="preserve">Prestação de serviços de arbitragem, contendo 3(três) Juízes para arbitrar a 3ª Taça Municipal de Futsal de Ibarama. </w:t>
            </w:r>
          </w:p>
          <w:p w14:paraId="5E53284D" w14:textId="77777777" w:rsidR="007C4F9F" w:rsidRPr="00F03E81" w:rsidRDefault="007C4F9F" w:rsidP="007C4F9F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Serão realizadas 8 rodadas, totalizando 28 jogos.</w:t>
            </w:r>
          </w:p>
          <w:p w14:paraId="373DECC9" w14:textId="77777777" w:rsidR="007C4F9F" w:rsidRPr="00F03E81" w:rsidRDefault="007C4F9F" w:rsidP="007C4F9F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Os jogos acontecerão no Ginásio Municipal de Esportes João Lazzari;</w:t>
            </w:r>
          </w:p>
          <w:p w14:paraId="5DB1BA8D" w14:textId="77777777" w:rsidR="007C4F9F" w:rsidRPr="00F03E81" w:rsidRDefault="007C4F9F" w:rsidP="007C4F9F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O Município não se responsabilizará pelo transporte dos juízes até o local dos jogos;</w:t>
            </w:r>
          </w:p>
          <w:p w14:paraId="064EA3C5" w14:textId="77777777" w:rsidR="007C4F9F" w:rsidRPr="00F03E81" w:rsidRDefault="007C4F9F" w:rsidP="007C4F9F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A segurança dos juízes é de total responsabilidade da empresa contratada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985" w:type="dxa"/>
            <w:vAlign w:val="bottom"/>
          </w:tcPr>
          <w:p w14:paraId="11ED694D" w14:textId="77777777" w:rsidR="007C4F9F" w:rsidRPr="00D36AC1" w:rsidRDefault="007C4F9F" w:rsidP="006272D6">
            <w:pPr>
              <w:jc w:val="center"/>
              <w:rPr>
                <w:rFonts w:ascii="Cambria" w:hAnsi="Cambria"/>
                <w:szCs w:val="22"/>
              </w:rPr>
            </w:pPr>
            <w:r w:rsidRPr="00D36AC1">
              <w:rPr>
                <w:rFonts w:ascii="Cambria" w:hAnsi="Cambria"/>
                <w:szCs w:val="22"/>
              </w:rPr>
              <w:t>11.120,00</w:t>
            </w:r>
          </w:p>
        </w:tc>
      </w:tr>
    </w:tbl>
    <w:p w14:paraId="3F6D6A5A" w14:textId="77777777" w:rsidR="007C4F9F" w:rsidRPr="00DE3D6F" w:rsidRDefault="007C4F9F" w:rsidP="007C4F9F">
      <w:pPr>
        <w:jc w:val="both"/>
        <w:rPr>
          <w:rFonts w:ascii="Cambria" w:hAnsi="Cambria"/>
          <w:szCs w:val="22"/>
        </w:rPr>
      </w:pPr>
    </w:p>
    <w:p w14:paraId="6395D190" w14:textId="77777777" w:rsidR="007C4F9F" w:rsidRPr="00FC371A" w:rsidRDefault="007C4F9F" w:rsidP="007C4F9F">
      <w:pPr>
        <w:jc w:val="both"/>
        <w:rPr>
          <w:rFonts w:ascii="Cambria" w:hAnsi="Cambria"/>
        </w:rPr>
      </w:pPr>
      <w:r w:rsidRPr="00FC371A">
        <w:rPr>
          <w:rFonts w:ascii="Cambria" w:hAnsi="Cambria"/>
        </w:rPr>
        <w:t xml:space="preserve">A realização da </w:t>
      </w:r>
      <w:r>
        <w:rPr>
          <w:rFonts w:ascii="Cambria" w:hAnsi="Cambria"/>
        </w:rPr>
        <w:t>3ª</w:t>
      </w:r>
      <w:r w:rsidRPr="00FC371A">
        <w:rPr>
          <w:rFonts w:ascii="Cambria" w:hAnsi="Cambria"/>
        </w:rPr>
        <w:t xml:space="preserve"> Taça de Ibarama de Futsal, prevista para ocorrer no mês de maio de 2025, faz parte do calendário esportivo do Município de Ibarama, sendo uma iniciativa da administração municipal com o objetivo de promover o esporte, incentivar a prática de atividades físicas e fortalecer o convívio social da comunidade. A competição reúne equipes locais, sendo um evento tradicional e de relevante interesse público.</w:t>
      </w:r>
    </w:p>
    <w:p w14:paraId="05957D79" w14:textId="77777777" w:rsidR="007C4F9F" w:rsidRPr="00FC371A" w:rsidRDefault="007C4F9F" w:rsidP="007C4F9F">
      <w:pPr>
        <w:jc w:val="both"/>
        <w:rPr>
          <w:rFonts w:ascii="Cambria" w:hAnsi="Cambria"/>
        </w:rPr>
      </w:pPr>
      <w:r w:rsidRPr="00FC371A">
        <w:rPr>
          <w:rFonts w:ascii="Cambria" w:hAnsi="Cambria"/>
        </w:rPr>
        <w:t>Para assegurar a regularidade e a lisura dos jogos, faz-se necessária a contratação de equipe de arbitragem qualificada e imparcial, composta por 3 (três) juízes por rodada, que atuarão nas 8 (oito) rodadas previstas, totalizando 28 (vinte e oito) partidas. A arbitragem é elemento essencial para garantir a disciplina, o respeito às regras e a segurança dos atletas e do público envolvido.</w:t>
      </w:r>
    </w:p>
    <w:p w14:paraId="52FB3D9C" w14:textId="77777777" w:rsidR="007C4F9F" w:rsidRDefault="007C4F9F" w:rsidP="007C4F9F">
      <w:pPr>
        <w:jc w:val="both"/>
        <w:rPr>
          <w:rFonts w:ascii="Cambria" w:hAnsi="Cambria"/>
        </w:rPr>
      </w:pPr>
      <w:r w:rsidRPr="00FC371A">
        <w:rPr>
          <w:rFonts w:ascii="Cambria" w:hAnsi="Cambria"/>
        </w:rPr>
        <w:t xml:space="preserve">A contratação de empresa especializada visa garantir que os profissionais escalados tenham capacitação técnica adequada, evitando amadorismo e riscos de conflitos durante a competição. </w:t>
      </w:r>
    </w:p>
    <w:p w14:paraId="0B775B6C" w14:textId="77777777" w:rsidR="007C4F9F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7CFAF83A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2. FUNDAMENTAÇÃO DA CONTRATAÇÃO:</w:t>
      </w:r>
    </w:p>
    <w:p w14:paraId="4311B98A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AC2302">
        <w:rPr>
          <w:rFonts w:ascii="Cambria" w:hAnsi="Cambria"/>
          <w:color w:val="000000"/>
          <w:sz w:val="22"/>
          <w:szCs w:val="22"/>
        </w:rPr>
        <w:t xml:space="preserve">A presente contratação foi fundamentada no Estudo Técnico Preliminar, anexo a este documento. </w:t>
      </w:r>
      <w:bookmarkStart w:id="1" w:name="art6xxiiic"/>
      <w:bookmarkEnd w:id="1"/>
    </w:p>
    <w:p w14:paraId="1A07AF56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33DE45AB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3. DESCRIÇÃO DA SOLUÇÃO COMO UM TODO:</w:t>
      </w:r>
    </w:p>
    <w:p w14:paraId="71237946" w14:textId="77777777" w:rsidR="007C4F9F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t xml:space="preserve">A solução proposta consiste na contratação de uma equipe especializada para a prestação de serviços de arbitragem, composta por três juízes, para atuação na 3ª Taça Municipal de Futsal de Ibarama. </w:t>
      </w:r>
    </w:p>
    <w:p w14:paraId="78F06F8F" w14:textId="77777777" w:rsidR="007C4F9F" w:rsidRPr="00F03E81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t>A competição contará com 28 partidas, distribuídas em 8 rodadas, previstas para ocorrer durante o mês de maio de 2025, no Ginásio Municipal de Esportes João Lazzari.</w:t>
      </w:r>
    </w:p>
    <w:p w14:paraId="3AF4A7FA" w14:textId="77777777" w:rsidR="007C4F9F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lastRenderedPageBreak/>
        <w:t xml:space="preserve">A presença de árbitros qualificados é imprescindível para garantir a imparcialidade, o cumprimento das regras e a integridade dos jogos, assegurando a credibilidade do campeonato e a segurança dos participantes. </w:t>
      </w:r>
    </w:p>
    <w:p w14:paraId="56DCF25E" w14:textId="77777777" w:rsidR="007C4F9F" w:rsidRPr="00F03E81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t>A contratação visa assegurar que todas as partidas sejam conduzidas por profissionais habilitados e com experiência</w:t>
      </w:r>
      <w:r>
        <w:rPr>
          <w:rFonts w:ascii="Cambria" w:hAnsi="Cambria"/>
          <w:bCs/>
          <w:szCs w:val="22"/>
        </w:rPr>
        <w:t>.</w:t>
      </w:r>
    </w:p>
    <w:p w14:paraId="754AE41A" w14:textId="77777777" w:rsidR="007C4F9F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t xml:space="preserve">A prestação do serviço será realizada exclusivamente no local dos jogos, sendo que o Município não se responsabilizará pelo transporte dos juízes até o Ginásio Municipal, tampouco pela segurança dos mesmos. </w:t>
      </w:r>
    </w:p>
    <w:p w14:paraId="551D9F1F" w14:textId="77777777" w:rsidR="007C4F9F" w:rsidRPr="00F03E81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t>A segurança dos árbitros será de total responsabilidade da empresa contratada</w:t>
      </w:r>
      <w:r>
        <w:rPr>
          <w:rFonts w:ascii="Cambria" w:hAnsi="Cambria"/>
          <w:bCs/>
          <w:szCs w:val="22"/>
        </w:rPr>
        <w:t>.</w:t>
      </w:r>
    </w:p>
    <w:p w14:paraId="6C6E54D5" w14:textId="77777777" w:rsidR="007C4F9F" w:rsidRDefault="007C4F9F" w:rsidP="007C4F9F">
      <w:pPr>
        <w:jc w:val="both"/>
        <w:rPr>
          <w:rFonts w:ascii="Cambria" w:hAnsi="Cambria"/>
          <w:szCs w:val="22"/>
        </w:rPr>
      </w:pPr>
      <w:r w:rsidRPr="00F03E81">
        <w:rPr>
          <w:rFonts w:ascii="Cambria" w:hAnsi="Cambria"/>
          <w:bCs/>
          <w:szCs w:val="22"/>
        </w:rPr>
        <w:t>O pagamento pelos serviços será realizado em duas etapas: a primeira, correspondente a 50% do valor contratado, ocorrerá após a realização da metade dos jogos; a segunda, referente aos 50% restantes, será efetuada ao final da competição, mediante apresentação da Nota Fiscal.</w:t>
      </w:r>
      <w:r w:rsidRPr="00DE3D6F">
        <w:rPr>
          <w:rFonts w:ascii="Cambria" w:hAnsi="Cambria"/>
          <w:szCs w:val="22"/>
        </w:rPr>
        <w:t xml:space="preserve"> </w:t>
      </w:r>
    </w:p>
    <w:p w14:paraId="5FB950C9" w14:textId="77777777" w:rsidR="007C4F9F" w:rsidRPr="00AC2302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 xml:space="preserve"> </w:t>
      </w:r>
      <w:r w:rsidRPr="00AC2302">
        <w:rPr>
          <w:rFonts w:ascii="Cambria" w:hAnsi="Cambria"/>
          <w:szCs w:val="22"/>
        </w:rPr>
        <w:t xml:space="preserve"> </w:t>
      </w:r>
    </w:p>
    <w:p w14:paraId="635D0DF4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4. REQUISITOS DA CONTRATAÇÃO</w:t>
      </w:r>
      <w:bookmarkStart w:id="2" w:name="art6xxiiie"/>
      <w:bookmarkEnd w:id="2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3ED28CE" w14:textId="77777777" w:rsidR="007C4F9F" w:rsidRPr="00AC2302" w:rsidRDefault="007C4F9F" w:rsidP="007C4F9F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Os bens da presente contratação têm natureza de serviços comuns, tendo em vista que seus </w:t>
      </w:r>
      <w:r w:rsidRPr="00AC2302">
        <w:rPr>
          <w:rFonts w:ascii="Cambria" w:hAnsi="Cambria"/>
          <w:color w:val="000000"/>
          <w:szCs w:val="22"/>
        </w:rPr>
        <w:t xml:space="preserve">padrões de desempenho e qualidade podem ser objetivamente definidos, por meio de especificações usuais de mercado, </w:t>
      </w:r>
      <w:r w:rsidRPr="00AC2302">
        <w:rPr>
          <w:rFonts w:ascii="Cambria" w:hAnsi="Cambria"/>
          <w:szCs w:val="22"/>
        </w:rPr>
        <w:t>nos termos do art. 6º, inciso XIII, da Lei Federal nº 14.133/2021.</w:t>
      </w:r>
    </w:p>
    <w:p w14:paraId="3C430E2D" w14:textId="77777777" w:rsidR="007C4F9F" w:rsidRPr="00AC2302" w:rsidRDefault="007C4F9F" w:rsidP="007C4F9F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A contratação será realizada por meio de</w:t>
      </w:r>
      <w:r w:rsidRPr="00AC2302">
        <w:rPr>
          <w:rFonts w:ascii="Cambria" w:hAnsi="Cambria"/>
          <w:color w:val="FF0000"/>
          <w:szCs w:val="22"/>
        </w:rPr>
        <w:t xml:space="preserve"> </w:t>
      </w:r>
      <w:r w:rsidRPr="00AC2302">
        <w:rPr>
          <w:rFonts w:ascii="Cambria" w:hAnsi="Cambria"/>
          <w:szCs w:val="22"/>
        </w:rPr>
        <w:t>Dispensa de licitação, com fundamento no Art. 75, inciso II, da Lei Federal n° 14.133/2021.</w:t>
      </w:r>
    </w:p>
    <w:p w14:paraId="738395AF" w14:textId="77777777" w:rsidR="007C4F9F" w:rsidRPr="00AC2302" w:rsidRDefault="007C4F9F" w:rsidP="007C4F9F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1A124367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szCs w:val="22"/>
        </w:rPr>
      </w:pPr>
      <w:r w:rsidRPr="00AC2302">
        <w:rPr>
          <w:rFonts w:ascii="Cambria" w:hAnsi="Cambria"/>
          <w:szCs w:val="22"/>
        </w:rPr>
        <w:t>Cartão CNPJ (</w:t>
      </w:r>
      <w:r w:rsidRPr="00AC2302">
        <w:rPr>
          <w:rFonts w:ascii="Cambria" w:hAnsi="Cambria"/>
          <w:bCs/>
          <w:szCs w:val="22"/>
          <w:shd w:val="clear" w:color="auto" w:fill="FFFFFF"/>
        </w:rPr>
        <w:t>Comprovante de Inscrição e de situação cadastral);</w:t>
      </w:r>
    </w:p>
    <w:p w14:paraId="49B07E64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Municipais;</w:t>
      </w:r>
    </w:p>
    <w:p w14:paraId="12ED901B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Estaduais; </w:t>
      </w:r>
    </w:p>
    <w:p w14:paraId="3EBE241D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Negativa de Débitos Federais; </w:t>
      </w:r>
    </w:p>
    <w:p w14:paraId="1F7C513E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 xml:space="preserve">Certidão Judicial Cível Negativa – Falência; </w:t>
      </w:r>
    </w:p>
    <w:p w14:paraId="7F456FCB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Certidão Negativa de Débitos Trabalhistas</w:t>
      </w:r>
    </w:p>
    <w:p w14:paraId="25DEA866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Certificado de Regularidade do FGTS-CRF;</w:t>
      </w:r>
    </w:p>
    <w:p w14:paraId="69EF0906" w14:textId="77777777" w:rsidR="007C4F9F" w:rsidRPr="00AC2302" w:rsidRDefault="007C4F9F" w:rsidP="007C4F9F">
      <w:pPr>
        <w:pStyle w:val="PargrafodaLista"/>
        <w:numPr>
          <w:ilvl w:val="0"/>
          <w:numId w:val="17"/>
        </w:numPr>
        <w:jc w:val="both"/>
        <w:rPr>
          <w:rFonts w:ascii="Cambria" w:hAnsi="Cambria"/>
          <w:b/>
          <w:bCs/>
          <w:color w:val="000000"/>
          <w:szCs w:val="22"/>
        </w:rPr>
      </w:pPr>
      <w:r w:rsidRPr="00AC2302">
        <w:rPr>
          <w:rFonts w:ascii="Cambria" w:hAnsi="Cambria"/>
          <w:szCs w:val="22"/>
        </w:rPr>
        <w:t>Declaração que não emprega menor.</w:t>
      </w:r>
    </w:p>
    <w:p w14:paraId="123A1F52" w14:textId="77777777" w:rsidR="007C4F9F" w:rsidRPr="00260DA0" w:rsidRDefault="007C4F9F" w:rsidP="007C4F9F">
      <w:pPr>
        <w:spacing w:line="276" w:lineRule="auto"/>
        <w:jc w:val="both"/>
        <w:rPr>
          <w:rFonts w:ascii="Cambria" w:hAnsi="Cambria"/>
          <w:color w:val="000000"/>
          <w:szCs w:val="22"/>
        </w:rPr>
      </w:pPr>
      <w:r w:rsidRPr="00260DA0">
        <w:rPr>
          <w:rFonts w:ascii="Cambria" w:hAnsi="Cambria"/>
          <w:color w:val="000000"/>
          <w:szCs w:val="22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260DA0">
        <w:rPr>
          <w:rFonts w:ascii="Cambria" w:hAnsi="Cambria"/>
          <w:color w:val="000000"/>
          <w:szCs w:val="22"/>
        </w:rPr>
        <w:t>Marci</w:t>
      </w:r>
      <w:proofErr w:type="spellEnd"/>
      <w:r w:rsidRPr="00260DA0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260DA0">
        <w:rPr>
          <w:rFonts w:ascii="Cambria" w:hAnsi="Cambria"/>
          <w:color w:val="000000"/>
          <w:szCs w:val="22"/>
        </w:rPr>
        <w:t>Luis</w:t>
      </w:r>
      <w:proofErr w:type="spellEnd"/>
      <w:r w:rsidRPr="00260DA0">
        <w:rPr>
          <w:rFonts w:ascii="Cambria" w:hAnsi="Cambria"/>
          <w:color w:val="000000"/>
          <w:szCs w:val="22"/>
        </w:rPr>
        <w:t xml:space="preserve"> Nardi, </w:t>
      </w:r>
      <w:proofErr w:type="spellStart"/>
      <w:r w:rsidRPr="00260DA0">
        <w:rPr>
          <w:rFonts w:ascii="Cambria" w:hAnsi="Cambria"/>
          <w:color w:val="000000"/>
          <w:szCs w:val="22"/>
        </w:rPr>
        <w:t>sn</w:t>
      </w:r>
      <w:proofErr w:type="spellEnd"/>
      <w:r w:rsidRPr="00260DA0">
        <w:rPr>
          <w:rFonts w:ascii="Cambria" w:hAnsi="Cambria"/>
          <w:color w:val="000000"/>
          <w:szCs w:val="22"/>
        </w:rPr>
        <w:t xml:space="preserve">, ao lado do Ginásio Municipal João Lazzari), ou pelo e-mail </w:t>
      </w:r>
      <w:proofErr w:type="gramStart"/>
      <w:r w:rsidRPr="00260DA0">
        <w:rPr>
          <w:rFonts w:ascii="Cambria" w:hAnsi="Cambria"/>
          <w:color w:val="000000"/>
          <w:szCs w:val="22"/>
        </w:rPr>
        <w:t>licitacao@ibarama.com,  juntamente</w:t>
      </w:r>
      <w:proofErr w:type="gramEnd"/>
      <w:r w:rsidRPr="00260DA0">
        <w:rPr>
          <w:rFonts w:ascii="Cambria" w:hAnsi="Cambria"/>
          <w:color w:val="000000"/>
          <w:szCs w:val="22"/>
        </w:rPr>
        <w:t xml:space="preserve"> com todos os documentos listados acima.</w:t>
      </w:r>
    </w:p>
    <w:p w14:paraId="5AD05518" w14:textId="77777777" w:rsidR="007C4F9F" w:rsidRPr="00AC2302" w:rsidRDefault="007C4F9F" w:rsidP="007C4F9F">
      <w:pPr>
        <w:jc w:val="both"/>
        <w:rPr>
          <w:rFonts w:ascii="Cambria" w:hAnsi="Cambria"/>
          <w:b/>
          <w:bCs/>
          <w:color w:val="000000"/>
          <w:szCs w:val="22"/>
        </w:rPr>
      </w:pPr>
    </w:p>
    <w:p w14:paraId="055D5E6D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5. MODELO DE EXECUÇÃO DO OBJETO:</w:t>
      </w:r>
    </w:p>
    <w:p w14:paraId="69FC33DE" w14:textId="77777777" w:rsidR="007C4F9F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  <w:u w:val="single"/>
        </w:rPr>
        <w:t>Não será permitida subcontratação</w:t>
      </w:r>
      <w:r w:rsidRPr="00AC2302">
        <w:rPr>
          <w:rFonts w:ascii="Cambria" w:hAnsi="Cambria"/>
          <w:sz w:val="22"/>
          <w:szCs w:val="22"/>
        </w:rPr>
        <w:t xml:space="preserve">. </w:t>
      </w:r>
    </w:p>
    <w:p w14:paraId="0B5EB54D" w14:textId="77777777" w:rsidR="007C4F9F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  <w:r w:rsidRPr="00FC371A">
        <w:rPr>
          <w:rFonts w:ascii="Cambria" w:hAnsi="Cambria"/>
        </w:rPr>
        <w:t xml:space="preserve">A realização da </w:t>
      </w:r>
      <w:r>
        <w:rPr>
          <w:rFonts w:ascii="Cambria" w:hAnsi="Cambria"/>
        </w:rPr>
        <w:t>3ª</w:t>
      </w:r>
      <w:r w:rsidRPr="00FC371A">
        <w:rPr>
          <w:rFonts w:ascii="Cambria" w:hAnsi="Cambria"/>
        </w:rPr>
        <w:t xml:space="preserve"> Taça de Ibarama de Futsal</w:t>
      </w:r>
      <w:r>
        <w:rPr>
          <w:rFonts w:ascii="Cambria" w:hAnsi="Cambria"/>
        </w:rPr>
        <w:t xml:space="preserve"> está</w:t>
      </w:r>
      <w:r w:rsidRPr="00FC371A">
        <w:rPr>
          <w:rFonts w:ascii="Cambria" w:hAnsi="Cambria"/>
        </w:rPr>
        <w:t xml:space="preserve"> prevista para ocorrer no mês de maio de 2025</w:t>
      </w:r>
      <w:r>
        <w:rPr>
          <w:rFonts w:ascii="Cambria" w:hAnsi="Cambria"/>
        </w:rPr>
        <w:t>.</w:t>
      </w:r>
    </w:p>
    <w:p w14:paraId="4B5E02CB" w14:textId="77777777" w:rsidR="007C4F9F" w:rsidRPr="00CC1273" w:rsidRDefault="007C4F9F" w:rsidP="007C4F9F">
      <w:pPr>
        <w:jc w:val="both"/>
        <w:rPr>
          <w:rFonts w:ascii="Cambria" w:hAnsi="Cambria"/>
          <w:bCs/>
          <w:szCs w:val="22"/>
        </w:rPr>
      </w:pPr>
      <w:r w:rsidRPr="00F03E81">
        <w:rPr>
          <w:rFonts w:ascii="Cambria" w:hAnsi="Cambria"/>
          <w:bCs/>
          <w:szCs w:val="22"/>
        </w:rPr>
        <w:t xml:space="preserve">A prestação do serviço será realizada exclusivamente no local dos jogos, sendo que o Município não se responsabilizará pelo transporte dos juízes até o Ginásio Municipal, tampouco pela segurança dos mesmos. </w:t>
      </w:r>
    </w:p>
    <w:p w14:paraId="7A3D39D2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bookmarkStart w:id="3" w:name="art6xxiiif"/>
      <w:bookmarkEnd w:id="3"/>
      <w:r w:rsidRPr="00AC2302">
        <w:rPr>
          <w:rFonts w:ascii="Cambria" w:hAnsi="Cambria"/>
          <w:b/>
          <w:bCs/>
          <w:color w:val="000000"/>
          <w:sz w:val="22"/>
          <w:szCs w:val="22"/>
        </w:rPr>
        <w:lastRenderedPageBreak/>
        <w:t>6. MODELO DE GESTÃO DO CONTRATO:</w:t>
      </w:r>
    </w:p>
    <w:p w14:paraId="19E037AF" w14:textId="77777777" w:rsidR="007C4F9F" w:rsidRPr="0084412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 gestão e fiscalização do contrato serão realizadas pela Secretária Municipal de Administração e Desporto, Sra. Danubia </w:t>
      </w:r>
      <w:proofErr w:type="spellStart"/>
      <w:r>
        <w:rPr>
          <w:rFonts w:ascii="Cambria" w:hAnsi="Cambria"/>
          <w:sz w:val="22"/>
          <w:szCs w:val="22"/>
        </w:rPr>
        <w:t>Capellete</w:t>
      </w:r>
      <w:proofErr w:type="spellEnd"/>
      <w:r>
        <w:rPr>
          <w:rFonts w:ascii="Cambria" w:hAnsi="Cambria"/>
          <w:sz w:val="22"/>
          <w:szCs w:val="22"/>
        </w:rPr>
        <w:t xml:space="preserve"> Rodrigues da Silva e pelo servidor responsável Renan </w:t>
      </w:r>
      <w:proofErr w:type="spellStart"/>
      <w:r>
        <w:rPr>
          <w:rFonts w:ascii="Cambria" w:hAnsi="Cambria"/>
          <w:sz w:val="22"/>
          <w:szCs w:val="22"/>
        </w:rPr>
        <w:t>Siebert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49C4FAEE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14:paraId="24DB6BCE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7. CRITÉRIOS DE PAGAMENTO</w:t>
      </w:r>
      <w:bookmarkStart w:id="4" w:name="art6xxiiih"/>
      <w:bookmarkEnd w:id="4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10C39488" w14:textId="77777777" w:rsidR="007C4F9F" w:rsidRDefault="007C4F9F" w:rsidP="007C4F9F">
      <w:pPr>
        <w:jc w:val="both"/>
        <w:rPr>
          <w:rFonts w:ascii="Cambria" w:hAnsi="Cambria"/>
          <w:szCs w:val="22"/>
        </w:rPr>
      </w:pPr>
      <w:r w:rsidRPr="00F03E81">
        <w:rPr>
          <w:rFonts w:ascii="Cambria" w:hAnsi="Cambria"/>
          <w:bCs/>
          <w:szCs w:val="22"/>
        </w:rPr>
        <w:t>O pagamento pelos serviços será realizado em duas etapas: a primeira, correspondente a 50% do valor contratado, ocorrerá após a realização da metade dos jogos; a segunda, referente aos 50% restantes, será efetuada ao final da competição, mediante apresentação da Nota Fiscal.</w:t>
      </w:r>
      <w:r w:rsidRPr="00DE3D6F">
        <w:rPr>
          <w:rFonts w:ascii="Cambria" w:hAnsi="Cambria"/>
          <w:szCs w:val="22"/>
        </w:rPr>
        <w:t xml:space="preserve"> </w:t>
      </w:r>
    </w:p>
    <w:p w14:paraId="3A25DEF4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59E6FD4C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8. FORMA E CRITÉRIOS DE SELEÇÃO DO PRESTADOR DE SERVIÇO</w:t>
      </w:r>
      <w:bookmarkStart w:id="5" w:name="art6xxiii.i"/>
      <w:bookmarkEnd w:id="5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D903177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AC2302">
        <w:rPr>
          <w:rFonts w:ascii="Cambria" w:hAnsi="Cambria"/>
          <w:sz w:val="22"/>
          <w:szCs w:val="22"/>
        </w:rPr>
        <w:t>Conforme disposto no item 4, a contratação será realizada por meio de Dispensa de licitação, com fundamento no Art. 75, inciso II, da Lei Federal n.º 14.133/2021.</w:t>
      </w:r>
    </w:p>
    <w:p w14:paraId="6FC66870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9A17219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9. ESTIMATIVA DO VALOR DA CONTRATAÇÃO</w:t>
      </w:r>
      <w:bookmarkStart w:id="6" w:name="art6xxiiij"/>
      <w:bookmarkEnd w:id="6"/>
      <w:r w:rsidRPr="00AC2302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31A2E1A7" w14:textId="77777777" w:rsidR="007C4F9F" w:rsidRPr="00DE3D6F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Estima-se para a contratação almejada o valor total de R$</w:t>
      </w:r>
      <w:r>
        <w:rPr>
          <w:rFonts w:ascii="Cambria" w:hAnsi="Cambria"/>
          <w:szCs w:val="22"/>
        </w:rPr>
        <w:t xml:space="preserve">11.120,00 </w:t>
      </w:r>
      <w:r w:rsidRPr="00DE3D6F">
        <w:rPr>
          <w:rFonts w:ascii="Cambria" w:hAnsi="Cambria"/>
          <w:szCs w:val="22"/>
        </w:rPr>
        <w:t>(</w:t>
      </w:r>
      <w:r>
        <w:rPr>
          <w:rFonts w:ascii="Cambria" w:hAnsi="Cambria"/>
          <w:szCs w:val="22"/>
        </w:rPr>
        <w:t>onze mil cento e vinte reais</w:t>
      </w:r>
      <w:r w:rsidRPr="00DE3D6F">
        <w:rPr>
          <w:rFonts w:ascii="Cambria" w:hAnsi="Cambria"/>
          <w:szCs w:val="22"/>
        </w:rPr>
        <w:t xml:space="preserve">), conforme consta na tabela </w:t>
      </w:r>
      <w:r>
        <w:rPr>
          <w:rFonts w:ascii="Cambria" w:hAnsi="Cambria"/>
          <w:szCs w:val="22"/>
        </w:rPr>
        <w:t xml:space="preserve">presente no item 1 deste documento. </w:t>
      </w:r>
    </w:p>
    <w:p w14:paraId="50B7A2D4" w14:textId="77777777" w:rsidR="007C4F9F" w:rsidRPr="00DE3D6F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Tais valores foram obtidos através de pesquisas de preços junto a fornecedores que atuam no ramo, sendo o valor acima o mais vantajoso para o Município.</w:t>
      </w:r>
    </w:p>
    <w:p w14:paraId="2FEE6CB8" w14:textId="77777777" w:rsidR="007C4F9F" w:rsidRPr="00DE3D6F" w:rsidRDefault="007C4F9F" w:rsidP="007C4F9F">
      <w:pPr>
        <w:jc w:val="both"/>
        <w:rPr>
          <w:rFonts w:ascii="Cambria" w:hAnsi="Cambria"/>
          <w:szCs w:val="22"/>
        </w:rPr>
      </w:pPr>
      <w:r w:rsidRPr="00DE3D6F">
        <w:rPr>
          <w:rFonts w:ascii="Cambria" w:hAnsi="Cambria"/>
          <w:szCs w:val="22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68CD902E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31211D89" w14:textId="77777777" w:rsidR="007C4F9F" w:rsidRPr="00AC2302" w:rsidRDefault="007C4F9F" w:rsidP="007C4F9F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C2302">
        <w:rPr>
          <w:rFonts w:ascii="Cambria" w:hAnsi="Cambria"/>
          <w:b/>
          <w:bCs/>
          <w:color w:val="000000"/>
          <w:sz w:val="22"/>
          <w:szCs w:val="22"/>
        </w:rPr>
        <w:t>10. ADEQUAÇÃO ORÇAMENTÁRIA:</w:t>
      </w:r>
    </w:p>
    <w:p w14:paraId="5E76EF07" w14:textId="77777777" w:rsidR="007C4F9F" w:rsidRDefault="007C4F9F" w:rsidP="007C4F9F">
      <w:pPr>
        <w:jc w:val="both"/>
        <w:rPr>
          <w:rFonts w:ascii="Cambria" w:hAnsi="Cambria"/>
          <w:szCs w:val="22"/>
        </w:rPr>
      </w:pPr>
      <w:r w:rsidRPr="00AC2302">
        <w:rPr>
          <w:rFonts w:ascii="Cambria" w:hAnsi="Cambria"/>
          <w:szCs w:val="22"/>
        </w:rPr>
        <w:t xml:space="preserve">O dispêndio financeiro, decorrente da contratação ora pretendida, decorrerá das seguintes dotações orçamentárias: </w:t>
      </w:r>
    </w:p>
    <w:p w14:paraId="13BCCCB7" w14:textId="77777777" w:rsidR="007C4F9F" w:rsidRDefault="007C4F9F" w:rsidP="007C4F9F">
      <w:pPr>
        <w:jc w:val="both"/>
        <w:rPr>
          <w:rFonts w:ascii="Cambria" w:hAnsi="Cambria"/>
          <w:szCs w:val="22"/>
        </w:rPr>
      </w:pPr>
    </w:p>
    <w:p w14:paraId="4D0654E8" w14:textId="77777777" w:rsidR="007C4F9F" w:rsidRPr="005302E0" w:rsidRDefault="007C4F9F" w:rsidP="007C4F9F">
      <w:pPr>
        <w:pStyle w:val="NormalWeb"/>
        <w:spacing w:before="0" w:beforeAutospacing="0" w:after="0" w:afterAutospacing="0"/>
        <w:rPr>
          <w:rFonts w:ascii="Cambria" w:hAnsi="Cambria" w:cs="Arial-BoldMT"/>
          <w:sz w:val="16"/>
          <w:szCs w:val="16"/>
        </w:rPr>
      </w:pPr>
      <w:r w:rsidRPr="005302E0">
        <w:rPr>
          <w:rFonts w:ascii="Cambria" w:hAnsi="Cambria" w:cs="Arial-BoldMT"/>
          <w:sz w:val="16"/>
          <w:szCs w:val="16"/>
        </w:rPr>
        <w:t>Entidade: 1 - PREFEITURA MUNICIPAL DE IBARAMA</w:t>
      </w:r>
    </w:p>
    <w:p w14:paraId="06F42C9D" w14:textId="77777777" w:rsidR="007C4F9F" w:rsidRPr="005302E0" w:rsidRDefault="007C4F9F" w:rsidP="007C4F9F">
      <w:pPr>
        <w:pStyle w:val="NormalWeb"/>
        <w:spacing w:before="0" w:beforeAutospacing="0" w:after="0" w:afterAutospacing="0"/>
        <w:rPr>
          <w:rFonts w:ascii="Cambria" w:hAnsi="Cambria" w:cs="Arial-BoldMT"/>
          <w:sz w:val="16"/>
          <w:szCs w:val="16"/>
        </w:rPr>
      </w:pPr>
      <w:r w:rsidRPr="005302E0">
        <w:rPr>
          <w:rFonts w:ascii="Cambria" w:hAnsi="Cambria" w:cs="Arial-BoldMT"/>
          <w:sz w:val="16"/>
          <w:szCs w:val="16"/>
        </w:rPr>
        <w:t>Órgão: 03 SECRETARIA DE ADMINISTRAÇÃO E DESPORTO</w:t>
      </w:r>
    </w:p>
    <w:p w14:paraId="60603ED4" w14:textId="77777777" w:rsidR="007C4F9F" w:rsidRPr="005302E0" w:rsidRDefault="007C4F9F" w:rsidP="007C4F9F">
      <w:pPr>
        <w:pStyle w:val="NormalWeb"/>
        <w:spacing w:before="0" w:beforeAutospacing="0" w:after="0" w:afterAutospacing="0"/>
        <w:rPr>
          <w:rFonts w:ascii="Cambria" w:hAnsi="Cambria" w:cs="Arial-BoldMT"/>
          <w:sz w:val="16"/>
          <w:szCs w:val="16"/>
        </w:rPr>
      </w:pPr>
      <w:r w:rsidRPr="005302E0">
        <w:rPr>
          <w:rFonts w:ascii="Cambria" w:hAnsi="Cambria" w:cs="Arial-BoldMT"/>
          <w:sz w:val="16"/>
          <w:szCs w:val="16"/>
        </w:rPr>
        <w:t>Unidade: 02 DESPORTO</w:t>
      </w:r>
    </w:p>
    <w:p w14:paraId="675722E8" w14:textId="77777777" w:rsidR="007C4F9F" w:rsidRPr="005302E0" w:rsidRDefault="007C4F9F" w:rsidP="007C4F9F">
      <w:pPr>
        <w:pStyle w:val="NormalWeb"/>
        <w:spacing w:before="0" w:beforeAutospacing="0" w:after="0" w:afterAutospacing="0"/>
        <w:rPr>
          <w:rFonts w:ascii="Cambria" w:hAnsi="Cambria" w:cs="Arial-BoldMT"/>
          <w:sz w:val="16"/>
          <w:szCs w:val="16"/>
        </w:rPr>
      </w:pPr>
      <w:proofErr w:type="spellStart"/>
      <w:proofErr w:type="gramStart"/>
      <w:r w:rsidRPr="005302E0">
        <w:rPr>
          <w:rFonts w:ascii="Cambria" w:hAnsi="Cambria" w:cs="Arial-BoldMT"/>
          <w:sz w:val="16"/>
          <w:szCs w:val="16"/>
        </w:rPr>
        <w:t>Proj</w:t>
      </w:r>
      <w:proofErr w:type="spellEnd"/>
      <w:r w:rsidRPr="005302E0">
        <w:rPr>
          <w:rFonts w:ascii="Cambria" w:hAnsi="Cambria" w:cs="Arial-BoldMT"/>
          <w:sz w:val="16"/>
          <w:szCs w:val="16"/>
        </w:rPr>
        <w:t>./</w:t>
      </w:r>
      <w:proofErr w:type="gramEnd"/>
      <w:r w:rsidRPr="005302E0">
        <w:rPr>
          <w:rFonts w:ascii="Cambria" w:hAnsi="Cambria" w:cs="Arial-BoldMT"/>
          <w:sz w:val="16"/>
          <w:szCs w:val="16"/>
        </w:rPr>
        <w:t>Ativ. 2.042 PROMOÇÃO DE EVENTOS ESPORTIVOS E INCENTIVO AO DESPORTO</w:t>
      </w:r>
    </w:p>
    <w:p w14:paraId="14E2FA99" w14:textId="77777777" w:rsidR="007C4F9F" w:rsidRDefault="007C4F9F" w:rsidP="007C4F9F">
      <w:pPr>
        <w:pStyle w:val="NormalWeb"/>
        <w:spacing w:before="0" w:beforeAutospacing="0" w:after="0" w:afterAutospacing="0"/>
        <w:rPr>
          <w:rFonts w:ascii="Cambria" w:hAnsi="Cambria" w:cs="Arial-BoldMT"/>
          <w:sz w:val="16"/>
          <w:szCs w:val="16"/>
        </w:rPr>
      </w:pPr>
      <w:r w:rsidRPr="005302E0">
        <w:rPr>
          <w:rFonts w:ascii="Cambria" w:hAnsi="Cambria" w:cs="Arial-BoldMT"/>
          <w:sz w:val="16"/>
          <w:szCs w:val="16"/>
        </w:rPr>
        <w:t>67 3.3.90.39.00.00.00.00 0500 OUTROS SERVIÇOS DE TERCEIROS PESSOA</w:t>
      </w:r>
    </w:p>
    <w:p w14:paraId="62B46AAA" w14:textId="77777777" w:rsidR="007C4F9F" w:rsidRDefault="007C4F9F" w:rsidP="007C4F9F">
      <w:pPr>
        <w:pStyle w:val="NormalWeb"/>
        <w:spacing w:before="0" w:beforeAutospacing="0" w:after="0" w:afterAutospacing="0"/>
        <w:rPr>
          <w:rFonts w:ascii="Cambria" w:hAnsi="Cambria" w:cs="Arial-BoldMT"/>
          <w:sz w:val="16"/>
          <w:szCs w:val="16"/>
        </w:rPr>
      </w:pPr>
    </w:p>
    <w:p w14:paraId="3E6CE69B" w14:textId="77777777" w:rsidR="007C4F9F" w:rsidRPr="005302E0" w:rsidRDefault="007C4F9F" w:rsidP="007C4F9F">
      <w:pPr>
        <w:pStyle w:val="NormalWeb"/>
        <w:spacing w:before="0" w:beforeAutospacing="0" w:after="0" w:afterAutospacing="0"/>
        <w:rPr>
          <w:rFonts w:ascii="ArialMT" w:hAnsi="ArialMT" w:cs="ArialMT"/>
          <w:sz w:val="15"/>
          <w:szCs w:val="15"/>
        </w:rPr>
      </w:pPr>
    </w:p>
    <w:p w14:paraId="72D7A2E5" w14:textId="77777777" w:rsidR="007C4F9F" w:rsidRDefault="007C4F9F" w:rsidP="007C4F9F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Ibarama, 24</w:t>
      </w:r>
      <w:r w:rsidRPr="0070183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de </w:t>
      </w:r>
      <w:proofErr w:type="gramStart"/>
      <w:r>
        <w:rPr>
          <w:rFonts w:ascii="Cambria" w:hAnsi="Cambria"/>
          <w:sz w:val="22"/>
          <w:szCs w:val="22"/>
        </w:rPr>
        <w:t xml:space="preserve">abril </w:t>
      </w:r>
      <w:r w:rsidRPr="00701835">
        <w:rPr>
          <w:rFonts w:ascii="Cambria" w:hAnsi="Cambria"/>
          <w:sz w:val="22"/>
          <w:szCs w:val="22"/>
        </w:rPr>
        <w:t xml:space="preserve"> de</w:t>
      </w:r>
      <w:proofErr w:type="gramEnd"/>
      <w:r w:rsidRPr="00701835">
        <w:rPr>
          <w:rFonts w:ascii="Cambria" w:hAnsi="Cambria"/>
          <w:sz w:val="22"/>
          <w:szCs w:val="22"/>
        </w:rPr>
        <w:t xml:space="preserve"> 2025.</w:t>
      </w:r>
    </w:p>
    <w:p w14:paraId="55911C2F" w14:textId="77777777" w:rsidR="007C4F9F" w:rsidRDefault="007C4F9F" w:rsidP="007C4F9F">
      <w:pPr>
        <w:pStyle w:val="NormalWeb"/>
        <w:spacing w:before="0" w:beforeAutospacing="0" w:after="0" w:afterAutospacing="0"/>
        <w:jc w:val="right"/>
        <w:rPr>
          <w:rFonts w:ascii="Cambria" w:hAnsi="Cambria"/>
          <w:sz w:val="22"/>
          <w:szCs w:val="22"/>
        </w:rPr>
      </w:pPr>
    </w:p>
    <w:p w14:paraId="195E385F" w14:textId="77777777" w:rsidR="007C4F9F" w:rsidRDefault="007C4F9F" w:rsidP="007C4F9F">
      <w:pPr>
        <w:pStyle w:val="NormalWeb"/>
        <w:spacing w:before="0" w:beforeAutospacing="0" w:after="0" w:afterAutospacing="0"/>
        <w:jc w:val="right"/>
      </w:pPr>
    </w:p>
    <w:p w14:paraId="4EA56369" w14:textId="4FBD5884" w:rsidR="007C4F9F" w:rsidRPr="003E4A23" w:rsidRDefault="007C4F9F" w:rsidP="007C4F9F">
      <w:pPr>
        <w:spacing w:line="276" w:lineRule="auto"/>
        <w:rPr>
          <w:sz w:val="16"/>
          <w:szCs w:val="16"/>
        </w:rPr>
      </w:pPr>
      <w:r>
        <w:t xml:space="preserve">    </w:t>
      </w:r>
      <w:r w:rsidRPr="003E4A23">
        <w:rPr>
          <w:sz w:val="16"/>
          <w:szCs w:val="16"/>
        </w:rPr>
        <w:t xml:space="preserve">________________________________________                                            </w:t>
      </w:r>
      <w:r>
        <w:rPr>
          <w:sz w:val="16"/>
          <w:szCs w:val="16"/>
        </w:rPr>
        <w:t xml:space="preserve">       </w:t>
      </w:r>
      <w:r w:rsidR="00C20B97">
        <w:rPr>
          <w:sz w:val="16"/>
          <w:szCs w:val="16"/>
        </w:rPr>
        <w:t>_______</w:t>
      </w:r>
      <w:r>
        <w:rPr>
          <w:sz w:val="16"/>
          <w:szCs w:val="16"/>
        </w:rPr>
        <w:t>___________</w:t>
      </w:r>
      <w:r w:rsidRPr="003E4A23">
        <w:rPr>
          <w:sz w:val="16"/>
          <w:szCs w:val="16"/>
        </w:rPr>
        <w:t>____________________________</w:t>
      </w:r>
    </w:p>
    <w:p w14:paraId="39E39740" w14:textId="63E1DEF7" w:rsidR="007C4F9F" w:rsidRPr="003E4A23" w:rsidRDefault="007C4F9F" w:rsidP="007C4F9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3E4A23">
        <w:rPr>
          <w:sz w:val="16"/>
          <w:szCs w:val="16"/>
        </w:rPr>
        <w:t>EMILI CRIS</w:t>
      </w:r>
      <w:r>
        <w:rPr>
          <w:sz w:val="16"/>
          <w:szCs w:val="16"/>
        </w:rPr>
        <w:t xml:space="preserve">TINA HALL                                                                                   DANUBIA CAPELLETE RODRIGUES DA SILVA </w:t>
      </w:r>
    </w:p>
    <w:p w14:paraId="6B2E3F80" w14:textId="77777777" w:rsidR="007C4F9F" w:rsidRPr="003E4A23" w:rsidRDefault="007C4F9F" w:rsidP="007C4F9F">
      <w:pPr>
        <w:spacing w:line="276" w:lineRule="auto"/>
        <w:rPr>
          <w:sz w:val="16"/>
          <w:szCs w:val="16"/>
        </w:rPr>
      </w:pPr>
      <w:r w:rsidRPr="003E4A23">
        <w:rPr>
          <w:sz w:val="16"/>
          <w:szCs w:val="16"/>
        </w:rPr>
        <w:t>DIRETORA DO DEPARTAMENTO DE COMPRAS</w:t>
      </w:r>
      <w:r w:rsidRPr="003E4A23">
        <w:rPr>
          <w:sz w:val="16"/>
          <w:szCs w:val="16"/>
        </w:rPr>
        <w:tab/>
      </w:r>
      <w:r w:rsidRPr="003E4A2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</w:t>
      </w:r>
      <w:r w:rsidRPr="003E4A23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SECRETÁRIA MUNICIPAL </w:t>
      </w:r>
    </w:p>
    <w:p w14:paraId="6846F5C0" w14:textId="77777777" w:rsidR="007C4F9F" w:rsidRDefault="007C4F9F" w:rsidP="007C4F9F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4C1BB47" w14:textId="77777777" w:rsidR="007C4F9F" w:rsidRPr="003E4A23" w:rsidRDefault="007C4F9F" w:rsidP="007C4F9F">
      <w:pPr>
        <w:tabs>
          <w:tab w:val="left" w:pos="6825"/>
        </w:tabs>
        <w:spacing w:line="276" w:lineRule="auto"/>
        <w:jc w:val="both"/>
        <w:rPr>
          <w:sz w:val="16"/>
          <w:szCs w:val="16"/>
        </w:rPr>
      </w:pPr>
    </w:p>
    <w:p w14:paraId="773A8F05" w14:textId="77777777" w:rsidR="007C4F9F" w:rsidRPr="003E4A23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__________________________________________________________</w:t>
      </w:r>
    </w:p>
    <w:p w14:paraId="1C8DB92A" w14:textId="77777777" w:rsidR="007C4F9F" w:rsidRPr="003E4A23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ATESTADO DE CONFORMIDADE DA AUTORIDADE SUPERIOR</w:t>
      </w:r>
    </w:p>
    <w:p w14:paraId="04054DF6" w14:textId="77777777" w:rsidR="007C4F9F" w:rsidRPr="003E4A23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VALMOR NERI MATTANA</w:t>
      </w:r>
    </w:p>
    <w:p w14:paraId="5A8C97B4" w14:textId="77777777" w:rsidR="007C4F9F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  <w:r w:rsidRPr="003E4A23">
        <w:rPr>
          <w:sz w:val="16"/>
          <w:szCs w:val="16"/>
        </w:rPr>
        <w:t>PREFEITO MUNICIPAL</w:t>
      </w:r>
    </w:p>
    <w:p w14:paraId="5EA4BD37" w14:textId="77777777" w:rsidR="007C4F9F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</w:p>
    <w:p w14:paraId="70FBC53D" w14:textId="77777777" w:rsidR="007C4F9F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</w:p>
    <w:p w14:paraId="05CAA256" w14:textId="77777777" w:rsidR="007C4F9F" w:rsidRDefault="007C4F9F" w:rsidP="007C4F9F">
      <w:pPr>
        <w:spacing w:line="276" w:lineRule="auto"/>
        <w:ind w:firstLine="708"/>
        <w:jc w:val="center"/>
        <w:rPr>
          <w:sz w:val="16"/>
          <w:szCs w:val="16"/>
        </w:rPr>
      </w:pPr>
    </w:p>
    <w:p w14:paraId="719D50C5" w14:textId="77777777" w:rsidR="00620631" w:rsidRDefault="00620631" w:rsidP="007C4F9F">
      <w:pPr>
        <w:spacing w:line="276" w:lineRule="auto"/>
        <w:ind w:firstLine="708"/>
        <w:jc w:val="center"/>
        <w:rPr>
          <w:sz w:val="16"/>
          <w:szCs w:val="16"/>
        </w:rPr>
      </w:pPr>
    </w:p>
    <w:p w14:paraId="71FC8A62" w14:textId="77777777" w:rsidR="00620631" w:rsidRPr="00BA2238" w:rsidRDefault="00620631" w:rsidP="00620631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lastRenderedPageBreak/>
        <w:t>ANEXO I - MODELO DE PROPOSTA</w:t>
      </w:r>
    </w:p>
    <w:p w14:paraId="0055C9B7" w14:textId="77777777" w:rsidR="00620631" w:rsidRPr="00BA2238" w:rsidRDefault="00620631" w:rsidP="00620631">
      <w:pPr>
        <w:jc w:val="both"/>
        <w:rPr>
          <w:sz w:val="18"/>
          <w:szCs w:val="18"/>
        </w:rPr>
      </w:pPr>
    </w:p>
    <w:p w14:paraId="76282B8C" w14:textId="77777777" w:rsidR="00620631" w:rsidRPr="00BA2238" w:rsidRDefault="00620631" w:rsidP="0062063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7E1B914B" w14:textId="77777777" w:rsidR="00620631" w:rsidRPr="00BA2238" w:rsidRDefault="00620631" w:rsidP="0062063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02A1E701" w14:textId="77777777" w:rsidR="00620631" w:rsidRPr="00BA2238" w:rsidRDefault="00620631" w:rsidP="0062063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1827D57A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4B356112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59D9BF69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191111D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54A4394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D0F4788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E37D9D1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pPr w:leftFromText="141" w:rightFromText="141" w:vertAnchor="text" w:horzAnchor="margin" w:tblpXSpec="center" w:tblpY="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6008"/>
        <w:gridCol w:w="1985"/>
      </w:tblGrid>
      <w:tr w:rsidR="00620631" w:rsidRPr="00D36AC1" w14:paraId="4B61DF51" w14:textId="77777777" w:rsidTr="006272D6">
        <w:trPr>
          <w:trHeight w:val="258"/>
        </w:trPr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FABDD3F" w14:textId="77777777" w:rsidR="00620631" w:rsidRPr="00D36AC1" w:rsidRDefault="00620631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>ITEM</w:t>
            </w:r>
          </w:p>
        </w:tc>
        <w:tc>
          <w:tcPr>
            <w:tcW w:w="6008" w:type="dxa"/>
            <w:tcBorders>
              <w:bottom w:val="single" w:sz="4" w:space="0" w:color="auto"/>
            </w:tcBorders>
            <w:shd w:val="clear" w:color="auto" w:fill="auto"/>
          </w:tcPr>
          <w:p w14:paraId="5F53AE2D" w14:textId="77777777" w:rsidR="00620631" w:rsidRPr="00D36AC1" w:rsidRDefault="00620631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 xml:space="preserve">DESCRIÇÃO </w:t>
            </w:r>
          </w:p>
        </w:tc>
        <w:tc>
          <w:tcPr>
            <w:tcW w:w="1985" w:type="dxa"/>
          </w:tcPr>
          <w:p w14:paraId="284DCA98" w14:textId="77777777" w:rsidR="00620631" w:rsidRPr="00D36AC1" w:rsidRDefault="00620631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>VALOR TOTAL</w:t>
            </w:r>
          </w:p>
        </w:tc>
      </w:tr>
      <w:tr w:rsidR="00620631" w:rsidRPr="00D36AC1" w14:paraId="62691A68" w14:textId="77777777" w:rsidTr="006272D6">
        <w:trPr>
          <w:trHeight w:val="576"/>
        </w:trPr>
        <w:tc>
          <w:tcPr>
            <w:tcW w:w="1046" w:type="dxa"/>
            <w:shd w:val="clear" w:color="auto" w:fill="auto"/>
          </w:tcPr>
          <w:p w14:paraId="04C105D0" w14:textId="77777777" w:rsidR="00620631" w:rsidRPr="00D36AC1" w:rsidRDefault="00620631" w:rsidP="006272D6">
            <w:pPr>
              <w:rPr>
                <w:rFonts w:ascii="Cambria" w:eastAsia="Calibri" w:hAnsi="Cambria"/>
                <w:szCs w:val="22"/>
              </w:rPr>
            </w:pPr>
          </w:p>
          <w:p w14:paraId="7C08B8CD" w14:textId="77777777" w:rsidR="00620631" w:rsidRPr="00D36AC1" w:rsidRDefault="00620631" w:rsidP="006272D6">
            <w:pPr>
              <w:rPr>
                <w:rFonts w:ascii="Cambria" w:eastAsia="Calibri" w:hAnsi="Cambria"/>
                <w:szCs w:val="22"/>
              </w:rPr>
            </w:pPr>
          </w:p>
          <w:p w14:paraId="75A6922C" w14:textId="77777777" w:rsidR="00620631" w:rsidRPr="00D36AC1" w:rsidRDefault="00620631" w:rsidP="006272D6">
            <w:pPr>
              <w:rPr>
                <w:rFonts w:ascii="Cambria" w:eastAsia="Calibri" w:hAnsi="Cambria"/>
                <w:szCs w:val="22"/>
              </w:rPr>
            </w:pPr>
            <w:r w:rsidRPr="00D36AC1">
              <w:rPr>
                <w:rFonts w:ascii="Cambria" w:eastAsia="Calibri" w:hAnsi="Cambria"/>
                <w:szCs w:val="22"/>
              </w:rPr>
              <w:t>01</w:t>
            </w:r>
          </w:p>
        </w:tc>
        <w:tc>
          <w:tcPr>
            <w:tcW w:w="6008" w:type="dxa"/>
            <w:shd w:val="clear" w:color="auto" w:fill="auto"/>
            <w:vAlign w:val="bottom"/>
          </w:tcPr>
          <w:p w14:paraId="12428C03" w14:textId="77777777" w:rsidR="00620631" w:rsidRDefault="00620631" w:rsidP="006272D6">
            <w:pPr>
              <w:rPr>
                <w:rFonts w:ascii="Cambria" w:hAnsi="Cambria"/>
              </w:rPr>
            </w:pPr>
            <w:r w:rsidRPr="00D36AC1">
              <w:rPr>
                <w:rFonts w:ascii="Cambria" w:hAnsi="Cambria"/>
              </w:rPr>
              <w:t xml:space="preserve">Prestação de serviços de arbitragem, contendo 3(três) Juízes para arbitrar a 3ª Taça Municipal de Futsal de Ibarama. </w:t>
            </w:r>
          </w:p>
          <w:p w14:paraId="1E020378" w14:textId="77777777" w:rsidR="00620631" w:rsidRDefault="00620631" w:rsidP="006272D6">
            <w:pPr>
              <w:rPr>
                <w:rFonts w:ascii="Cambria" w:hAnsi="Cambria"/>
              </w:rPr>
            </w:pPr>
          </w:p>
          <w:p w14:paraId="4E4BC4CC" w14:textId="77777777" w:rsidR="00620631" w:rsidRPr="00F03E81" w:rsidRDefault="00620631" w:rsidP="00620631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Serão realizadas 8 rodadas, totalizando 28 jogos.</w:t>
            </w:r>
          </w:p>
          <w:p w14:paraId="4BC99469" w14:textId="77777777" w:rsidR="00620631" w:rsidRPr="00F03E81" w:rsidRDefault="00620631" w:rsidP="00620631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Os jogos acontecerão no Ginásio Municipal de Esportes João Lazzari;</w:t>
            </w:r>
          </w:p>
          <w:p w14:paraId="0F4F52DE" w14:textId="77777777" w:rsidR="00620631" w:rsidRPr="00F03E81" w:rsidRDefault="00620631" w:rsidP="00620631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O Município não se responsabilizará pelo transporte dos juízes até o local dos jogos;</w:t>
            </w:r>
          </w:p>
          <w:p w14:paraId="712AD681" w14:textId="77777777" w:rsidR="00620631" w:rsidRPr="00F03E81" w:rsidRDefault="00620631" w:rsidP="00620631">
            <w:pPr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F03E81">
              <w:rPr>
                <w:rFonts w:ascii="Cambria" w:hAnsi="Cambria"/>
              </w:rPr>
              <w:t>A segurança dos juízes é de total responsabilidade da empresa contratada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985" w:type="dxa"/>
            <w:vAlign w:val="bottom"/>
          </w:tcPr>
          <w:p w14:paraId="1373F420" w14:textId="77777777" w:rsidR="00620631" w:rsidRPr="00D36AC1" w:rsidRDefault="00620631" w:rsidP="006272D6">
            <w:pPr>
              <w:jc w:val="center"/>
              <w:rPr>
                <w:rFonts w:ascii="Cambria" w:hAnsi="Cambria"/>
                <w:szCs w:val="22"/>
              </w:rPr>
            </w:pPr>
          </w:p>
        </w:tc>
      </w:tr>
    </w:tbl>
    <w:p w14:paraId="7526FD1E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73C952F8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D80E3AA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24AAB612" w14:textId="77777777" w:rsidR="00620631" w:rsidRDefault="00620631" w:rsidP="0062063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441784B0" w14:textId="77777777" w:rsidR="00620631" w:rsidRDefault="00620631" w:rsidP="00620631">
      <w:pPr>
        <w:rPr>
          <w:sz w:val="20"/>
        </w:rPr>
      </w:pPr>
    </w:p>
    <w:p w14:paraId="554A3DF6" w14:textId="77777777" w:rsidR="00620631" w:rsidRDefault="00620631" w:rsidP="00620631">
      <w:pPr>
        <w:rPr>
          <w:sz w:val="20"/>
        </w:rPr>
      </w:pPr>
    </w:p>
    <w:p w14:paraId="1C37E108" w14:textId="77777777" w:rsidR="00620631" w:rsidRDefault="00620631" w:rsidP="00620631">
      <w:pPr>
        <w:rPr>
          <w:sz w:val="20"/>
        </w:rPr>
      </w:pPr>
    </w:p>
    <w:p w14:paraId="26C0C181" w14:textId="77777777" w:rsidR="00620631" w:rsidRDefault="00620631" w:rsidP="00620631">
      <w:pPr>
        <w:rPr>
          <w:sz w:val="20"/>
        </w:rPr>
      </w:pPr>
    </w:p>
    <w:p w14:paraId="4BCC4449" w14:textId="77777777" w:rsidR="00620631" w:rsidRDefault="00620631" w:rsidP="00620631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766476DD" w14:textId="77777777" w:rsidR="00620631" w:rsidRDefault="00620631" w:rsidP="00620631">
      <w:pPr>
        <w:rPr>
          <w:sz w:val="20"/>
        </w:rPr>
      </w:pPr>
    </w:p>
    <w:p w14:paraId="0730EE08" w14:textId="77777777" w:rsidR="00620631" w:rsidRDefault="00620631" w:rsidP="00620631">
      <w:pPr>
        <w:rPr>
          <w:sz w:val="20"/>
        </w:rPr>
      </w:pPr>
    </w:p>
    <w:p w14:paraId="7B285230" w14:textId="77777777" w:rsidR="00620631" w:rsidRDefault="00620631" w:rsidP="00620631">
      <w:pPr>
        <w:rPr>
          <w:sz w:val="20"/>
        </w:rPr>
      </w:pPr>
    </w:p>
    <w:p w14:paraId="54E5FEDC" w14:textId="77777777" w:rsidR="00620631" w:rsidRDefault="00620631" w:rsidP="00620631">
      <w:pPr>
        <w:rPr>
          <w:sz w:val="20"/>
        </w:rPr>
      </w:pPr>
    </w:p>
    <w:p w14:paraId="166F2ED7" w14:textId="77777777" w:rsidR="00620631" w:rsidRDefault="00620631" w:rsidP="00620631">
      <w:pPr>
        <w:tabs>
          <w:tab w:val="left" w:pos="3585"/>
        </w:tabs>
        <w:rPr>
          <w:sz w:val="18"/>
          <w:szCs w:val="18"/>
        </w:rPr>
      </w:pPr>
    </w:p>
    <w:p w14:paraId="4264BDAE" w14:textId="77777777" w:rsidR="00620631" w:rsidRPr="00AE4098" w:rsidRDefault="00620631" w:rsidP="00620631">
      <w:pPr>
        <w:jc w:val="center"/>
      </w:pPr>
      <w:r w:rsidRPr="00AE4098">
        <w:t>_______________________________________</w:t>
      </w:r>
    </w:p>
    <w:p w14:paraId="2DCD924E" w14:textId="77777777" w:rsidR="00620631" w:rsidRDefault="00620631" w:rsidP="00620631">
      <w:pPr>
        <w:jc w:val="center"/>
      </w:pPr>
      <w:r>
        <w:t>ASSINATURA E CARIMBO DA EMPRESA</w:t>
      </w:r>
    </w:p>
    <w:p w14:paraId="427288DC" w14:textId="77777777" w:rsidR="00620631" w:rsidRPr="003E4A23" w:rsidRDefault="00620631" w:rsidP="00620631">
      <w:pPr>
        <w:spacing w:line="276" w:lineRule="auto"/>
        <w:ind w:firstLine="708"/>
        <w:jc w:val="center"/>
        <w:rPr>
          <w:sz w:val="16"/>
          <w:szCs w:val="16"/>
        </w:rPr>
      </w:pPr>
    </w:p>
    <w:p w14:paraId="3EF9478C" w14:textId="77777777" w:rsidR="00620631" w:rsidRPr="003C4005" w:rsidRDefault="00620631" w:rsidP="00620631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102C2EB" w14:textId="77777777" w:rsidR="00620631" w:rsidRDefault="00620631" w:rsidP="007C4F9F">
      <w:pPr>
        <w:spacing w:line="276" w:lineRule="auto"/>
        <w:ind w:firstLine="708"/>
        <w:jc w:val="center"/>
        <w:rPr>
          <w:sz w:val="16"/>
          <w:szCs w:val="16"/>
        </w:rPr>
      </w:pPr>
    </w:p>
    <w:p w14:paraId="1F20E2FB" w14:textId="77777777" w:rsidR="00006249" w:rsidRPr="00410B26" w:rsidRDefault="00006249" w:rsidP="00410B26"/>
    <w:sectPr w:rsidR="00006249" w:rsidRPr="00410B26" w:rsidSect="007C4F9F">
      <w:headerReference w:type="default" r:id="rId10"/>
      <w:footerReference w:type="default" r:id="rId11"/>
      <w:type w:val="continuous"/>
      <w:pgSz w:w="11906" w:h="16838"/>
      <w:pgMar w:top="2127" w:right="1133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A591" w14:textId="77777777" w:rsidR="00000515" w:rsidRDefault="00000515">
      <w:r>
        <w:separator/>
      </w:r>
    </w:p>
  </w:endnote>
  <w:endnote w:type="continuationSeparator" w:id="0">
    <w:p w14:paraId="5EC7A531" w14:textId="77777777" w:rsidR="00000515" w:rsidRDefault="0000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D6FE" w14:textId="77777777" w:rsidR="00000515" w:rsidRDefault="00000515">
      <w:r>
        <w:separator/>
      </w:r>
    </w:p>
  </w:footnote>
  <w:footnote w:type="continuationSeparator" w:id="0">
    <w:p w14:paraId="4744B3A5" w14:textId="77777777" w:rsidR="00000515" w:rsidRDefault="0000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924607906" name="Imagem 1924607906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C10DDA"/>
    <w:multiLevelType w:val="hybridMultilevel"/>
    <w:tmpl w:val="0598088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1192113710">
    <w:abstractNumId w:val="9"/>
  </w:num>
  <w:num w:numId="18" w16cid:durableId="160198353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0515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67EBE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20631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49FA"/>
    <w:rsid w:val="007C1904"/>
    <w:rsid w:val="007C4F9F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840D6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1781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285"/>
    <w:rsid w:val="00B83C38"/>
    <w:rsid w:val="00B84846"/>
    <w:rsid w:val="00B93138"/>
    <w:rsid w:val="00B9412D"/>
    <w:rsid w:val="00BA045C"/>
    <w:rsid w:val="00BA2D60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20B97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2E3F"/>
    <w:rsid w:val="00D850A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7C4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4</cp:revision>
  <cp:lastPrinted>2025-04-25T14:56:00Z</cp:lastPrinted>
  <dcterms:created xsi:type="dcterms:W3CDTF">2025-04-25T14:15:00Z</dcterms:created>
  <dcterms:modified xsi:type="dcterms:W3CDTF">2025-04-25T14:57:00Z</dcterms:modified>
</cp:coreProperties>
</file>